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89C" w:rsidRPr="00ED1957" w:rsidRDefault="0094589C" w:rsidP="0094589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D1957">
        <w:rPr>
          <w:rFonts w:ascii="Times New Roman" w:hAnsi="Times New Roman" w:cs="Times New Roman"/>
          <w:sz w:val="24"/>
          <w:szCs w:val="24"/>
          <w:u w:val="single"/>
        </w:rPr>
        <w:t>Supplementary Information</w:t>
      </w:r>
    </w:p>
    <w:p w:rsidR="007C14A2" w:rsidRDefault="007C14A2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327660</wp:posOffset>
            </wp:positionV>
            <wp:extent cx="5464175" cy="4457700"/>
            <wp:effectExtent l="19050" t="0" r="3175" b="0"/>
            <wp:wrapTopAndBottom/>
            <wp:docPr id="17" name="Picture 16" descr="ir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.t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4175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0685E" w:rsidRDefault="0060685E" w:rsidP="007C14A2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14A2" w:rsidRPr="00BA7636" w:rsidRDefault="0094589C" w:rsidP="007C14A2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F207C">
        <w:rPr>
          <w:rFonts w:ascii="Times New Roman" w:hAnsi="Times New Roman" w:cs="Times New Roman"/>
          <w:b/>
          <w:sz w:val="24"/>
          <w:szCs w:val="24"/>
        </w:rPr>
        <w:t>Fig</w:t>
      </w:r>
      <w:r>
        <w:rPr>
          <w:rFonts w:ascii="Times New Roman" w:hAnsi="Times New Roman" w:cs="Times New Roman"/>
          <w:b/>
          <w:sz w:val="24"/>
          <w:szCs w:val="24"/>
        </w:rPr>
        <w:t>ure</w:t>
      </w:r>
      <w:r w:rsidRPr="009F207C">
        <w:rPr>
          <w:rFonts w:ascii="Times New Roman" w:hAnsi="Times New Roman" w:cs="Times New Roman"/>
          <w:sz w:val="24"/>
          <w:szCs w:val="24"/>
        </w:rPr>
        <w:t xml:space="preserve"> </w:t>
      </w:r>
      <w:r w:rsidRPr="009F207C">
        <w:rPr>
          <w:rFonts w:ascii="Times New Roman" w:hAnsi="Times New Roman" w:cs="Times New Roman"/>
          <w:b/>
          <w:sz w:val="24"/>
          <w:szCs w:val="24"/>
        </w:rPr>
        <w:t>S1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7C14A2" w:rsidRPr="00BA76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14A2" w:rsidRPr="00BA7636">
        <w:rPr>
          <w:rFonts w:ascii="Times New Roman" w:hAnsi="Times New Roman" w:cs="Times New Roman"/>
          <w:bCs/>
          <w:sz w:val="24"/>
          <w:szCs w:val="24"/>
        </w:rPr>
        <w:t xml:space="preserve">FT-IR Spectra of compounds </w:t>
      </w:r>
      <w:r w:rsidR="007C14A2" w:rsidRPr="00BA7636">
        <w:rPr>
          <w:rFonts w:ascii="Times New Roman" w:hAnsi="Times New Roman" w:cs="Times New Roman"/>
          <w:b/>
          <w:sz w:val="24"/>
          <w:szCs w:val="24"/>
        </w:rPr>
        <w:t>1</w:t>
      </w:r>
      <w:r w:rsidR="007C14A2" w:rsidRPr="00BA7636">
        <w:rPr>
          <w:rFonts w:ascii="Times New Roman" w:hAnsi="Times New Roman" w:cs="Times New Roman"/>
          <w:bCs/>
          <w:sz w:val="24"/>
          <w:szCs w:val="24"/>
        </w:rPr>
        <w:t xml:space="preserve"> and </w:t>
      </w:r>
      <w:r w:rsidR="007C14A2" w:rsidRPr="00BA7636">
        <w:rPr>
          <w:rFonts w:ascii="Times New Roman" w:hAnsi="Times New Roman" w:cs="Times New Roman"/>
          <w:b/>
          <w:sz w:val="24"/>
          <w:szCs w:val="24"/>
        </w:rPr>
        <w:t>2</w:t>
      </w:r>
      <w:r w:rsidR="007C14A2" w:rsidRPr="00BA7636">
        <w:rPr>
          <w:rFonts w:ascii="Times New Roman" w:hAnsi="Times New Roman" w:cs="Times New Roman"/>
          <w:sz w:val="24"/>
          <w:szCs w:val="24"/>
        </w:rPr>
        <w:t>.</w:t>
      </w:r>
    </w:p>
    <w:p w:rsidR="000F316F" w:rsidRDefault="000F316F"/>
    <w:p w:rsidR="007C14A2" w:rsidRPr="0094589C" w:rsidRDefault="00ED1957" w:rsidP="007C14A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</w:t>
      </w:r>
      <w:r w:rsidR="007C14A2" w:rsidRPr="0094589C">
        <w:rPr>
          <w:rFonts w:ascii="Times New Roman" w:hAnsi="Times New Roman" w:cs="Times New Roman"/>
          <w:i/>
          <w:sz w:val="24"/>
          <w:szCs w:val="24"/>
        </w:rPr>
        <w:t>.3.2 Electronic spectroscopy</w:t>
      </w:r>
    </w:p>
    <w:p w:rsidR="007C14A2" w:rsidRPr="0094589C" w:rsidRDefault="007C14A2" w:rsidP="007C14A2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94589C">
        <w:rPr>
          <w:rFonts w:ascii="Times New Roman" w:eastAsia="Calibri" w:hAnsi="Times New Roman" w:cs="Times New Roman"/>
          <w:sz w:val="24"/>
          <w:szCs w:val="24"/>
        </w:rPr>
        <w:t xml:space="preserve">The electronic spectra of the compounds </w:t>
      </w:r>
      <w:r w:rsidRPr="0094589C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94589C">
        <w:rPr>
          <w:rFonts w:ascii="Times New Roman" w:eastAsia="Calibri" w:hAnsi="Times New Roman" w:cs="Times New Roman"/>
          <w:sz w:val="24"/>
          <w:szCs w:val="24"/>
        </w:rPr>
        <w:t xml:space="preserve"> and </w:t>
      </w:r>
      <w:r w:rsidRPr="0094589C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94589C">
        <w:rPr>
          <w:rFonts w:ascii="Times New Roman" w:eastAsia="Calibri" w:hAnsi="Times New Roman" w:cs="Times New Roman"/>
          <w:sz w:val="24"/>
          <w:szCs w:val="24"/>
        </w:rPr>
        <w:t xml:space="preserve"> have been recorded in solid as well as in aqueous state (</w:t>
      </w:r>
      <w:r w:rsidRPr="0094589C">
        <w:rPr>
          <w:rFonts w:ascii="Times New Roman" w:hAnsi="Times New Roman" w:cs="Times New Roman"/>
          <w:color w:val="0070C0"/>
          <w:sz w:val="24"/>
          <w:szCs w:val="24"/>
        </w:rPr>
        <w:t>Fig</w:t>
      </w:r>
      <w:r w:rsidR="00D00370">
        <w:rPr>
          <w:rFonts w:ascii="Times New Roman" w:hAnsi="Times New Roman" w:cs="Times New Roman"/>
          <w:color w:val="0070C0"/>
          <w:sz w:val="24"/>
          <w:szCs w:val="24"/>
        </w:rPr>
        <w:t>ure S2-S3</w:t>
      </w:r>
      <w:r w:rsidRPr="009458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  <w:r w:rsidRPr="0094589C">
        <w:rPr>
          <w:rFonts w:ascii="Times New Roman" w:eastAsia="Calibri" w:hAnsi="Times New Roman" w:cs="Times New Roman"/>
          <w:sz w:val="24"/>
          <w:szCs w:val="24"/>
        </w:rPr>
        <w:t xml:space="preserve">The electronic spectra of compound </w:t>
      </w:r>
      <w:r w:rsidRPr="0094589C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94589C">
        <w:rPr>
          <w:rFonts w:ascii="Times New Roman" w:eastAsia="Calibri" w:hAnsi="Times New Roman" w:cs="Times New Roman"/>
          <w:sz w:val="24"/>
          <w:szCs w:val="24"/>
        </w:rPr>
        <w:t xml:space="preserve"> does not exhibit any absorption bands in the visible region, as Mn(II) centre (d</w:t>
      </w:r>
      <w:r w:rsidRPr="0094589C">
        <w:rPr>
          <w:rFonts w:ascii="Times New Roman" w:eastAsia="Calibri" w:hAnsi="Times New Roman" w:cs="Times New Roman"/>
          <w:sz w:val="24"/>
          <w:szCs w:val="24"/>
          <w:vertAlign w:val="superscript"/>
        </w:rPr>
        <w:t>5</w:t>
      </w:r>
      <w:r w:rsidRPr="0094589C">
        <w:rPr>
          <w:rFonts w:ascii="Times New Roman" w:eastAsia="Calibri" w:hAnsi="Times New Roman" w:cs="Times New Roman"/>
          <w:sz w:val="24"/>
          <w:szCs w:val="24"/>
        </w:rPr>
        <w:t xml:space="preserve"> system) has all the electronic transitions from the </w:t>
      </w:r>
      <w:r w:rsidRPr="0094589C">
        <w:rPr>
          <w:rFonts w:ascii="Times New Roman" w:eastAsia="Calibri" w:hAnsi="Times New Roman" w:cs="Times New Roman"/>
          <w:sz w:val="24"/>
          <w:szCs w:val="24"/>
          <w:vertAlign w:val="superscript"/>
        </w:rPr>
        <w:t>6</w:t>
      </w:r>
      <w:r w:rsidRPr="0094589C">
        <w:rPr>
          <w:rFonts w:ascii="Times New Roman" w:eastAsia="Calibri" w:hAnsi="Times New Roman" w:cs="Times New Roman"/>
          <w:sz w:val="24"/>
          <w:szCs w:val="24"/>
        </w:rPr>
        <w:t>A</w:t>
      </w:r>
      <w:r w:rsidRPr="0094589C">
        <w:rPr>
          <w:rFonts w:ascii="Times New Roman" w:eastAsia="Calibri" w:hAnsi="Times New Roman" w:cs="Times New Roman"/>
          <w:sz w:val="24"/>
          <w:szCs w:val="24"/>
          <w:vertAlign w:val="subscript"/>
        </w:rPr>
        <w:t>1g</w:t>
      </w:r>
      <w:r w:rsidRPr="0094589C">
        <w:rPr>
          <w:rFonts w:ascii="Times New Roman" w:eastAsia="Calibri" w:hAnsi="Times New Roman" w:cs="Times New Roman"/>
          <w:sz w:val="24"/>
          <w:szCs w:val="24"/>
        </w:rPr>
        <w:t xml:space="preserve"> ground state doubly forbidden [</w:t>
      </w:r>
      <w:r w:rsidR="00D00370" w:rsidRPr="003F64B3">
        <w:rPr>
          <w:rFonts w:ascii="Times New Roman" w:eastAsia="Calibri" w:hAnsi="Times New Roman" w:cs="Times New Roman"/>
          <w:color w:val="0070C0"/>
          <w:sz w:val="24"/>
          <w:szCs w:val="24"/>
        </w:rPr>
        <w:t>1-2</w:t>
      </w:r>
      <w:r w:rsidRPr="0094589C">
        <w:rPr>
          <w:rFonts w:ascii="Times New Roman" w:eastAsia="Calibri" w:hAnsi="Times New Roman" w:cs="Times New Roman"/>
          <w:sz w:val="24"/>
          <w:szCs w:val="24"/>
        </w:rPr>
        <w:t>]. The peaks at 221 and 271 nm in the solid state UV-Vis-NIR spectrum can be assigned to the π→π* transition of the aromatic ligand [</w:t>
      </w:r>
      <w:r w:rsidR="00D00370" w:rsidRPr="003F64B3">
        <w:rPr>
          <w:rFonts w:ascii="Times New Roman" w:eastAsia="Calibri" w:hAnsi="Times New Roman" w:cs="Times New Roman"/>
          <w:color w:val="0070C0"/>
          <w:sz w:val="24"/>
          <w:szCs w:val="24"/>
        </w:rPr>
        <w:t>3</w:t>
      </w:r>
      <w:r w:rsidRPr="0094589C">
        <w:rPr>
          <w:rFonts w:ascii="Times New Roman" w:eastAsia="Calibri" w:hAnsi="Times New Roman" w:cs="Times New Roman"/>
          <w:sz w:val="24"/>
          <w:szCs w:val="24"/>
        </w:rPr>
        <w:t>]. In the aqueous state UV-Vis spectrum these absorption peaks were obtained at 227 and 268 nm respectively [</w:t>
      </w:r>
      <w:r w:rsidR="00D00370" w:rsidRPr="003F64B3">
        <w:rPr>
          <w:rFonts w:ascii="Times New Roman" w:eastAsia="Calibri" w:hAnsi="Times New Roman" w:cs="Times New Roman"/>
          <w:color w:val="0070C0"/>
          <w:sz w:val="24"/>
          <w:szCs w:val="24"/>
        </w:rPr>
        <w:t>3</w:t>
      </w:r>
      <w:r w:rsidRPr="0094589C">
        <w:rPr>
          <w:rFonts w:ascii="Times New Roman" w:eastAsia="Calibri" w:hAnsi="Times New Roman" w:cs="Times New Roman"/>
          <w:sz w:val="24"/>
          <w:szCs w:val="24"/>
        </w:rPr>
        <w:t>].</w:t>
      </w:r>
    </w:p>
    <w:p w:rsidR="007C14A2" w:rsidRDefault="007C14A2">
      <w:pPr>
        <w:rPr>
          <w:rFonts w:ascii="Times New Roman" w:hAnsi="Times New Roman" w:cs="Times New Roman"/>
          <w:sz w:val="24"/>
          <w:szCs w:val="24"/>
        </w:rPr>
      </w:pPr>
    </w:p>
    <w:p w:rsidR="007C14A2" w:rsidRPr="0094589C" w:rsidRDefault="00A27E9E" w:rsidP="00A27E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3037840</wp:posOffset>
            </wp:positionH>
            <wp:positionV relativeFrom="paragraph">
              <wp:posOffset>-114300</wp:posOffset>
            </wp:positionV>
            <wp:extent cx="2314575" cy="2040255"/>
            <wp:effectExtent l="19050" t="0" r="9525" b="0"/>
            <wp:wrapTopAndBottom/>
            <wp:docPr id="2" name="Picture 5" descr="Mn solid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n solid.t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204025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-114300</wp:posOffset>
            </wp:positionV>
            <wp:extent cx="2447925" cy="2066925"/>
            <wp:effectExtent l="19050" t="0" r="9525" b="0"/>
            <wp:wrapTopAndBottom/>
            <wp:docPr id="1" name="Picture 6" descr="Mn aq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n aq.t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14A2" w:rsidRPr="0094589C" w:rsidRDefault="00A27E9E" w:rsidP="007C14A2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89C">
        <w:rPr>
          <w:rFonts w:ascii="Times New Roman" w:hAnsi="Times New Roman" w:cs="Times New Roman"/>
          <w:sz w:val="24"/>
          <w:szCs w:val="24"/>
        </w:rPr>
        <w:t xml:space="preserve"> </w:t>
      </w:r>
      <w:r w:rsidR="007C14A2" w:rsidRPr="0094589C">
        <w:rPr>
          <w:rFonts w:ascii="Times New Roman" w:hAnsi="Times New Roman" w:cs="Times New Roman"/>
          <w:sz w:val="24"/>
          <w:szCs w:val="24"/>
        </w:rPr>
        <w:t>(</w:t>
      </w:r>
      <w:r w:rsidR="007C14A2" w:rsidRPr="0094589C">
        <w:rPr>
          <w:rFonts w:ascii="Times New Roman" w:hAnsi="Times New Roman" w:cs="Times New Roman"/>
          <w:b/>
          <w:sz w:val="24"/>
          <w:szCs w:val="24"/>
        </w:rPr>
        <w:t>a</w:t>
      </w:r>
      <w:r w:rsidR="007C14A2" w:rsidRPr="0094589C">
        <w:rPr>
          <w:rFonts w:ascii="Times New Roman" w:hAnsi="Times New Roman" w:cs="Times New Roman"/>
          <w:sz w:val="24"/>
          <w:szCs w:val="24"/>
        </w:rPr>
        <w:t>)</w:t>
      </w:r>
      <w:r w:rsidR="007C14A2" w:rsidRPr="0094589C">
        <w:rPr>
          <w:rFonts w:ascii="Times New Roman" w:hAnsi="Times New Roman" w:cs="Times New Roman"/>
          <w:sz w:val="24"/>
          <w:szCs w:val="24"/>
        </w:rPr>
        <w:tab/>
      </w:r>
      <w:r w:rsidR="007C14A2" w:rsidRPr="0094589C">
        <w:rPr>
          <w:rFonts w:ascii="Times New Roman" w:hAnsi="Times New Roman" w:cs="Times New Roman"/>
          <w:sz w:val="24"/>
          <w:szCs w:val="24"/>
        </w:rPr>
        <w:tab/>
      </w:r>
      <w:r w:rsidR="007C14A2" w:rsidRPr="0094589C">
        <w:rPr>
          <w:rFonts w:ascii="Times New Roman" w:hAnsi="Times New Roman" w:cs="Times New Roman"/>
          <w:sz w:val="24"/>
          <w:szCs w:val="24"/>
        </w:rPr>
        <w:tab/>
      </w:r>
      <w:r w:rsidR="007C14A2" w:rsidRPr="0094589C">
        <w:rPr>
          <w:rFonts w:ascii="Times New Roman" w:hAnsi="Times New Roman" w:cs="Times New Roman"/>
          <w:sz w:val="24"/>
          <w:szCs w:val="24"/>
        </w:rPr>
        <w:tab/>
      </w:r>
      <w:r w:rsidR="007C14A2" w:rsidRPr="0094589C">
        <w:rPr>
          <w:rFonts w:ascii="Times New Roman" w:hAnsi="Times New Roman" w:cs="Times New Roman"/>
          <w:sz w:val="24"/>
          <w:szCs w:val="24"/>
        </w:rPr>
        <w:tab/>
      </w:r>
      <w:r w:rsidR="007C14A2" w:rsidRPr="0094589C">
        <w:rPr>
          <w:rFonts w:ascii="Times New Roman" w:hAnsi="Times New Roman" w:cs="Times New Roman"/>
          <w:sz w:val="24"/>
          <w:szCs w:val="24"/>
        </w:rPr>
        <w:tab/>
        <w:t>(</w:t>
      </w:r>
      <w:r w:rsidR="007C14A2" w:rsidRPr="0094589C">
        <w:rPr>
          <w:rFonts w:ascii="Times New Roman" w:hAnsi="Times New Roman" w:cs="Times New Roman"/>
          <w:b/>
          <w:sz w:val="24"/>
          <w:szCs w:val="24"/>
        </w:rPr>
        <w:t>b</w:t>
      </w:r>
      <w:r w:rsidR="007C14A2" w:rsidRPr="0094589C">
        <w:rPr>
          <w:rFonts w:ascii="Times New Roman" w:hAnsi="Times New Roman" w:cs="Times New Roman"/>
          <w:sz w:val="24"/>
          <w:szCs w:val="24"/>
        </w:rPr>
        <w:t>)</w:t>
      </w:r>
    </w:p>
    <w:p w:rsidR="007C14A2" w:rsidRPr="0094589C" w:rsidRDefault="007C14A2" w:rsidP="007C14A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89C">
        <w:rPr>
          <w:rFonts w:ascii="Times New Roman" w:hAnsi="Times New Roman" w:cs="Times New Roman"/>
          <w:b/>
          <w:sz w:val="24"/>
          <w:szCs w:val="24"/>
        </w:rPr>
        <w:tab/>
      </w:r>
      <w:r w:rsidR="00A27E9E" w:rsidRPr="009F207C">
        <w:rPr>
          <w:rFonts w:ascii="Times New Roman" w:eastAsia="Calibri" w:hAnsi="Times New Roman" w:cs="Times New Roman"/>
          <w:b/>
          <w:sz w:val="24"/>
          <w:szCs w:val="24"/>
        </w:rPr>
        <w:t>Fig</w:t>
      </w:r>
      <w:r w:rsidR="00A27E9E">
        <w:rPr>
          <w:rFonts w:ascii="Times New Roman" w:eastAsia="Calibri" w:hAnsi="Times New Roman" w:cs="Times New Roman"/>
          <w:sz w:val="24"/>
          <w:szCs w:val="24"/>
        </w:rPr>
        <w:t>ure</w:t>
      </w:r>
      <w:r w:rsidR="00A27E9E" w:rsidRPr="009F20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7E9E">
        <w:rPr>
          <w:rFonts w:ascii="Times New Roman" w:eastAsia="Calibri" w:hAnsi="Times New Roman" w:cs="Times New Roman"/>
          <w:b/>
          <w:sz w:val="24"/>
          <w:szCs w:val="24"/>
        </w:rPr>
        <w:t>S2</w:t>
      </w:r>
      <w:r w:rsidR="00A27E9E">
        <w:rPr>
          <w:rFonts w:ascii="Times New Roman" w:hAnsi="Times New Roman" w:cs="Times New Roman"/>
          <w:sz w:val="24"/>
          <w:szCs w:val="24"/>
        </w:rPr>
        <w:t xml:space="preserve">. </w:t>
      </w:r>
      <w:r w:rsidRPr="0094589C">
        <w:rPr>
          <w:rFonts w:ascii="Times New Roman" w:hAnsi="Times New Roman" w:cs="Times New Roman"/>
          <w:sz w:val="24"/>
          <w:szCs w:val="24"/>
        </w:rPr>
        <w:t>(</w:t>
      </w:r>
      <w:r w:rsidRPr="0094589C">
        <w:rPr>
          <w:rFonts w:ascii="Times New Roman" w:hAnsi="Times New Roman" w:cs="Times New Roman"/>
          <w:b/>
          <w:sz w:val="24"/>
          <w:szCs w:val="24"/>
        </w:rPr>
        <w:t>a</w:t>
      </w:r>
      <w:r w:rsidRPr="0094589C">
        <w:rPr>
          <w:rFonts w:ascii="Times New Roman" w:hAnsi="Times New Roman" w:cs="Times New Roman"/>
          <w:sz w:val="24"/>
          <w:szCs w:val="24"/>
        </w:rPr>
        <w:t xml:space="preserve">) UV-Vis-NIR spectrum of </w:t>
      </w:r>
      <w:r w:rsidRPr="0094589C">
        <w:rPr>
          <w:rFonts w:ascii="Times New Roman" w:hAnsi="Times New Roman" w:cs="Times New Roman"/>
          <w:b/>
          <w:sz w:val="24"/>
          <w:szCs w:val="24"/>
        </w:rPr>
        <w:t>1</w:t>
      </w:r>
      <w:r w:rsidRPr="0094589C">
        <w:rPr>
          <w:rFonts w:ascii="Times New Roman" w:hAnsi="Times New Roman" w:cs="Times New Roman"/>
          <w:sz w:val="24"/>
          <w:szCs w:val="24"/>
        </w:rPr>
        <w:tab/>
        <w:t>(</w:t>
      </w:r>
      <w:r w:rsidRPr="0094589C">
        <w:rPr>
          <w:rFonts w:ascii="Times New Roman" w:hAnsi="Times New Roman" w:cs="Times New Roman"/>
          <w:b/>
          <w:sz w:val="24"/>
          <w:szCs w:val="24"/>
        </w:rPr>
        <w:t>b</w:t>
      </w:r>
      <w:r w:rsidRPr="0094589C">
        <w:rPr>
          <w:rFonts w:ascii="Times New Roman" w:hAnsi="Times New Roman" w:cs="Times New Roman"/>
          <w:sz w:val="24"/>
          <w:szCs w:val="24"/>
        </w:rPr>
        <w:t xml:space="preserve">) UV-Vis spectrum of compound </w:t>
      </w:r>
      <w:r w:rsidRPr="0094589C">
        <w:rPr>
          <w:rFonts w:ascii="Times New Roman" w:hAnsi="Times New Roman" w:cs="Times New Roman"/>
          <w:b/>
          <w:sz w:val="24"/>
          <w:szCs w:val="24"/>
        </w:rPr>
        <w:t>1</w:t>
      </w:r>
    </w:p>
    <w:p w:rsidR="007C14A2" w:rsidRPr="0094589C" w:rsidRDefault="007C14A2">
      <w:pPr>
        <w:rPr>
          <w:rFonts w:ascii="Times New Roman" w:hAnsi="Times New Roman" w:cs="Times New Roman"/>
          <w:sz w:val="24"/>
          <w:szCs w:val="24"/>
        </w:rPr>
      </w:pPr>
    </w:p>
    <w:p w:rsidR="007C14A2" w:rsidRPr="0094589C" w:rsidRDefault="007C14A2" w:rsidP="00A27E9E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589C">
        <w:rPr>
          <w:rFonts w:ascii="Times New Roman" w:eastAsia="Calibri" w:hAnsi="Times New Roman" w:cs="Times New Roman"/>
          <w:sz w:val="24"/>
          <w:szCs w:val="24"/>
        </w:rPr>
        <w:t>The electronic spectra of the diamagnetic Zn(II) compound (</w:t>
      </w:r>
      <w:r w:rsidRPr="0094589C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94589C">
        <w:rPr>
          <w:rFonts w:ascii="Times New Roman" w:eastAsia="Calibri" w:hAnsi="Times New Roman" w:cs="Times New Roman"/>
          <w:sz w:val="24"/>
          <w:szCs w:val="24"/>
        </w:rPr>
        <w:t>) do not show any absorption bands (</w:t>
      </w:r>
      <w:r w:rsidRPr="0094589C">
        <w:rPr>
          <w:rFonts w:ascii="Times New Roman" w:eastAsia="Calibri" w:hAnsi="Times New Roman" w:cs="Times New Roman"/>
          <w:color w:val="0070C0"/>
          <w:sz w:val="24"/>
          <w:szCs w:val="24"/>
        </w:rPr>
        <w:t>Fig</w:t>
      </w:r>
      <w:r w:rsidR="00D00370">
        <w:rPr>
          <w:rFonts w:ascii="Times New Roman" w:eastAsia="Calibri" w:hAnsi="Times New Roman" w:cs="Times New Roman"/>
          <w:color w:val="0070C0"/>
          <w:sz w:val="24"/>
          <w:szCs w:val="24"/>
        </w:rPr>
        <w:t>ure S3</w:t>
      </w:r>
      <w:r w:rsidRPr="0094589C">
        <w:rPr>
          <w:rFonts w:ascii="Times New Roman" w:eastAsia="Calibri" w:hAnsi="Times New Roman" w:cs="Times New Roman"/>
          <w:sz w:val="24"/>
          <w:szCs w:val="24"/>
        </w:rPr>
        <w:t>) in the visible region [</w:t>
      </w:r>
      <w:r w:rsidR="00D00370" w:rsidRPr="003F64B3">
        <w:rPr>
          <w:rFonts w:ascii="Times New Roman" w:eastAsia="Calibri" w:hAnsi="Times New Roman" w:cs="Times New Roman"/>
          <w:color w:val="0070C0"/>
          <w:sz w:val="24"/>
          <w:szCs w:val="24"/>
        </w:rPr>
        <w:t>4</w:t>
      </w:r>
      <w:r w:rsidR="004923B0" w:rsidRPr="003F64B3">
        <w:rPr>
          <w:rFonts w:ascii="Times New Roman" w:eastAsia="Calibri" w:hAnsi="Times New Roman" w:cs="Times New Roman"/>
          <w:color w:val="0070C0"/>
          <w:sz w:val="24"/>
          <w:szCs w:val="24"/>
        </w:rPr>
        <w:t>-6</w:t>
      </w:r>
      <w:r w:rsidRPr="0094589C">
        <w:rPr>
          <w:rFonts w:ascii="Times New Roman" w:eastAsia="Calibri" w:hAnsi="Times New Roman" w:cs="Times New Roman"/>
          <w:sz w:val="24"/>
          <w:szCs w:val="24"/>
        </w:rPr>
        <w:t xml:space="preserve">]. The absorption bands at 225 and 272 nm in the UV-Vis-NIR spectrum of compound </w:t>
      </w:r>
      <w:r w:rsidRPr="0094589C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94589C">
        <w:rPr>
          <w:rFonts w:ascii="Times New Roman" w:eastAsia="Calibri" w:hAnsi="Times New Roman" w:cs="Times New Roman"/>
          <w:sz w:val="24"/>
          <w:szCs w:val="24"/>
        </w:rPr>
        <w:t xml:space="preserve"> can be attributed to the </w:t>
      </w:r>
      <w:r w:rsidRPr="0094589C">
        <w:rPr>
          <w:rFonts w:ascii="Times New Roman" w:eastAsia="Calibri" w:hAnsi="Times New Roman" w:cs="Times New Roman"/>
          <w:sz w:val="24"/>
          <w:szCs w:val="24"/>
          <w:lang w:val="en-IN"/>
        </w:rPr>
        <w:t>π→π* transition of the aromatic ligands [</w:t>
      </w:r>
      <w:r w:rsidR="004923B0" w:rsidRPr="003F64B3">
        <w:rPr>
          <w:rFonts w:ascii="Times New Roman" w:eastAsia="Calibri" w:hAnsi="Times New Roman" w:cs="Times New Roman"/>
          <w:color w:val="0070C0"/>
          <w:sz w:val="24"/>
          <w:szCs w:val="24"/>
          <w:lang w:val="en-IN"/>
        </w:rPr>
        <w:t>7</w:t>
      </w:r>
      <w:r w:rsidRPr="0094589C">
        <w:rPr>
          <w:rFonts w:ascii="Times New Roman" w:eastAsia="Calibri" w:hAnsi="Times New Roman" w:cs="Times New Roman"/>
          <w:sz w:val="24"/>
          <w:szCs w:val="24"/>
          <w:lang w:val="en-IN"/>
        </w:rPr>
        <w:t xml:space="preserve">]. These absorption peaks are obtained at 222 and 269 nm in the aqueous phase UV-Vis spectrum. </w:t>
      </w:r>
      <w:r w:rsidRPr="009458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observed similarities in the absorption peaks of compounds </w:t>
      </w:r>
      <w:r w:rsidRPr="009458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9458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</w:t>
      </w:r>
      <w:r w:rsidRPr="009458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9458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both the phases suggest that the compounds do not undergo any structural distortion in the aqueous phase [</w:t>
      </w:r>
      <w:r w:rsidR="008B2313" w:rsidRPr="003F64B3">
        <w:rPr>
          <w:rFonts w:ascii="Times New Roman" w:hAnsi="Times New Roman" w:cs="Times New Roman"/>
          <w:color w:val="0070C0"/>
          <w:sz w:val="24"/>
          <w:szCs w:val="24"/>
        </w:rPr>
        <w:t>8,9</w:t>
      </w:r>
      <w:r w:rsidRPr="0094589C">
        <w:rPr>
          <w:rFonts w:ascii="Times New Roman" w:hAnsi="Times New Roman" w:cs="Times New Roman"/>
          <w:color w:val="000000" w:themeColor="text1"/>
          <w:sz w:val="24"/>
          <w:szCs w:val="24"/>
        </w:rPr>
        <w:t>].</w:t>
      </w:r>
    </w:p>
    <w:p w:rsidR="007C14A2" w:rsidRPr="0094589C" w:rsidRDefault="00A27E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676910</wp:posOffset>
            </wp:positionH>
            <wp:positionV relativeFrom="paragraph">
              <wp:posOffset>357505</wp:posOffset>
            </wp:positionV>
            <wp:extent cx="2285365" cy="1952625"/>
            <wp:effectExtent l="19050" t="0" r="635" b="0"/>
            <wp:wrapTopAndBottom/>
            <wp:docPr id="13" name="Picture 2" descr="D:\Paper construction_MS 55_AF done\UV\compound 2\Zn solid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aper construction_MS 55_AF done\UV\compound 2\Zn solid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36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386080</wp:posOffset>
            </wp:positionV>
            <wp:extent cx="2247900" cy="1923415"/>
            <wp:effectExtent l="19050" t="0" r="0" b="0"/>
            <wp:wrapTopAndBottom/>
            <wp:docPr id="12" name="Picture 1" descr="D:\Paper construction_MS 55_AF done\UV\compound 2\aquoues uv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aper construction_MS 55_AF done\UV\compound 2\aquoues uv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92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7E9E" w:rsidRDefault="00A27E9E" w:rsidP="00A27E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7E9E" w:rsidRPr="0094589C" w:rsidRDefault="00A27E9E" w:rsidP="00A27E9E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89C">
        <w:rPr>
          <w:rFonts w:ascii="Times New Roman" w:hAnsi="Times New Roman" w:cs="Times New Roman"/>
          <w:sz w:val="24"/>
          <w:szCs w:val="24"/>
        </w:rPr>
        <w:t>(</w:t>
      </w:r>
      <w:r w:rsidRPr="0094589C">
        <w:rPr>
          <w:rFonts w:ascii="Times New Roman" w:hAnsi="Times New Roman" w:cs="Times New Roman"/>
          <w:b/>
          <w:sz w:val="24"/>
          <w:szCs w:val="24"/>
        </w:rPr>
        <w:t>a</w:t>
      </w:r>
      <w:r w:rsidRPr="0094589C">
        <w:rPr>
          <w:rFonts w:ascii="Times New Roman" w:hAnsi="Times New Roman" w:cs="Times New Roman"/>
          <w:sz w:val="24"/>
          <w:szCs w:val="24"/>
        </w:rPr>
        <w:t>)</w:t>
      </w:r>
      <w:r w:rsidRPr="0094589C">
        <w:rPr>
          <w:rFonts w:ascii="Times New Roman" w:hAnsi="Times New Roman" w:cs="Times New Roman"/>
          <w:sz w:val="24"/>
          <w:szCs w:val="24"/>
        </w:rPr>
        <w:tab/>
      </w:r>
      <w:r w:rsidRPr="0094589C">
        <w:rPr>
          <w:rFonts w:ascii="Times New Roman" w:hAnsi="Times New Roman" w:cs="Times New Roman"/>
          <w:sz w:val="24"/>
          <w:szCs w:val="24"/>
        </w:rPr>
        <w:tab/>
      </w:r>
      <w:r w:rsidRPr="0094589C">
        <w:rPr>
          <w:rFonts w:ascii="Times New Roman" w:hAnsi="Times New Roman" w:cs="Times New Roman"/>
          <w:sz w:val="24"/>
          <w:szCs w:val="24"/>
        </w:rPr>
        <w:tab/>
      </w:r>
      <w:r w:rsidRPr="0094589C">
        <w:rPr>
          <w:rFonts w:ascii="Times New Roman" w:hAnsi="Times New Roman" w:cs="Times New Roman"/>
          <w:sz w:val="24"/>
          <w:szCs w:val="24"/>
        </w:rPr>
        <w:tab/>
      </w:r>
      <w:r w:rsidRPr="0094589C">
        <w:rPr>
          <w:rFonts w:ascii="Times New Roman" w:hAnsi="Times New Roman" w:cs="Times New Roman"/>
          <w:sz w:val="24"/>
          <w:szCs w:val="24"/>
        </w:rPr>
        <w:tab/>
      </w:r>
      <w:r w:rsidRPr="0094589C">
        <w:rPr>
          <w:rFonts w:ascii="Times New Roman" w:hAnsi="Times New Roman" w:cs="Times New Roman"/>
          <w:sz w:val="24"/>
          <w:szCs w:val="24"/>
        </w:rPr>
        <w:tab/>
        <w:t>(</w:t>
      </w:r>
      <w:r w:rsidRPr="0094589C">
        <w:rPr>
          <w:rFonts w:ascii="Times New Roman" w:hAnsi="Times New Roman" w:cs="Times New Roman"/>
          <w:b/>
          <w:sz w:val="24"/>
          <w:szCs w:val="24"/>
        </w:rPr>
        <w:t>b</w:t>
      </w:r>
      <w:r w:rsidRPr="0094589C">
        <w:rPr>
          <w:rFonts w:ascii="Times New Roman" w:hAnsi="Times New Roman" w:cs="Times New Roman"/>
          <w:sz w:val="24"/>
          <w:szCs w:val="24"/>
        </w:rPr>
        <w:t>)</w:t>
      </w:r>
    </w:p>
    <w:p w:rsidR="007C14A2" w:rsidRPr="0094589C" w:rsidRDefault="007C14A2" w:rsidP="007C14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89C">
        <w:rPr>
          <w:rFonts w:ascii="Times New Roman" w:hAnsi="Times New Roman" w:cs="Times New Roman"/>
          <w:b/>
          <w:sz w:val="24"/>
          <w:szCs w:val="24"/>
        </w:rPr>
        <w:tab/>
      </w:r>
      <w:r w:rsidR="00A27E9E" w:rsidRPr="009F207C">
        <w:rPr>
          <w:rFonts w:ascii="Times New Roman" w:hAnsi="Times New Roman"/>
          <w:b/>
          <w:sz w:val="24"/>
          <w:szCs w:val="24"/>
        </w:rPr>
        <w:t>Fig</w:t>
      </w:r>
      <w:r w:rsidR="00A27E9E">
        <w:rPr>
          <w:rFonts w:ascii="Times New Roman" w:hAnsi="Times New Roman"/>
          <w:sz w:val="24"/>
          <w:szCs w:val="24"/>
        </w:rPr>
        <w:t>ure</w:t>
      </w:r>
      <w:r w:rsidR="00A27E9E" w:rsidRPr="009F207C">
        <w:rPr>
          <w:rFonts w:ascii="Times New Roman" w:hAnsi="Times New Roman"/>
          <w:sz w:val="24"/>
          <w:szCs w:val="24"/>
        </w:rPr>
        <w:t xml:space="preserve"> </w:t>
      </w:r>
      <w:r w:rsidR="00A27E9E" w:rsidRPr="009F207C">
        <w:rPr>
          <w:rFonts w:ascii="Times New Roman" w:hAnsi="Times New Roman"/>
          <w:b/>
          <w:sz w:val="24"/>
          <w:szCs w:val="24"/>
        </w:rPr>
        <w:t>S</w:t>
      </w:r>
      <w:r w:rsidR="00A27E9E">
        <w:rPr>
          <w:rFonts w:ascii="Times New Roman" w:hAnsi="Times New Roman"/>
          <w:b/>
          <w:sz w:val="24"/>
          <w:szCs w:val="24"/>
        </w:rPr>
        <w:t>3</w:t>
      </w:r>
      <w:r w:rsidR="00A27E9E" w:rsidRPr="00A27E9E">
        <w:rPr>
          <w:rFonts w:ascii="Times New Roman" w:hAnsi="Times New Roman"/>
          <w:sz w:val="24"/>
          <w:szCs w:val="24"/>
        </w:rPr>
        <w:t>.</w:t>
      </w:r>
      <w:r w:rsidR="00A27E9E" w:rsidRPr="0094589C">
        <w:rPr>
          <w:rFonts w:ascii="Times New Roman" w:hAnsi="Times New Roman" w:cs="Times New Roman"/>
          <w:sz w:val="24"/>
          <w:szCs w:val="24"/>
        </w:rPr>
        <w:t xml:space="preserve"> </w:t>
      </w:r>
      <w:r w:rsidRPr="0094589C">
        <w:rPr>
          <w:rFonts w:ascii="Times New Roman" w:hAnsi="Times New Roman" w:cs="Times New Roman"/>
          <w:sz w:val="24"/>
          <w:szCs w:val="24"/>
        </w:rPr>
        <w:t>(</w:t>
      </w:r>
      <w:r w:rsidRPr="0094589C">
        <w:rPr>
          <w:rFonts w:ascii="Times New Roman" w:hAnsi="Times New Roman" w:cs="Times New Roman"/>
          <w:b/>
          <w:sz w:val="24"/>
          <w:szCs w:val="24"/>
        </w:rPr>
        <w:t>a</w:t>
      </w:r>
      <w:r w:rsidRPr="0094589C">
        <w:rPr>
          <w:rFonts w:ascii="Times New Roman" w:hAnsi="Times New Roman" w:cs="Times New Roman"/>
          <w:sz w:val="24"/>
          <w:szCs w:val="24"/>
        </w:rPr>
        <w:t xml:space="preserve">) UV-Vis-NIR spectrum of </w:t>
      </w:r>
      <w:r w:rsidRPr="0094589C">
        <w:rPr>
          <w:rFonts w:ascii="Times New Roman" w:hAnsi="Times New Roman" w:cs="Times New Roman"/>
          <w:b/>
          <w:sz w:val="24"/>
          <w:szCs w:val="24"/>
        </w:rPr>
        <w:t>2</w:t>
      </w:r>
      <w:r w:rsidRPr="0094589C">
        <w:rPr>
          <w:rFonts w:ascii="Times New Roman" w:hAnsi="Times New Roman" w:cs="Times New Roman"/>
          <w:sz w:val="24"/>
          <w:szCs w:val="24"/>
        </w:rPr>
        <w:tab/>
        <w:t>(</w:t>
      </w:r>
      <w:r w:rsidRPr="0094589C">
        <w:rPr>
          <w:rFonts w:ascii="Times New Roman" w:hAnsi="Times New Roman" w:cs="Times New Roman"/>
          <w:b/>
          <w:sz w:val="24"/>
          <w:szCs w:val="24"/>
        </w:rPr>
        <w:t>b</w:t>
      </w:r>
      <w:r w:rsidRPr="0094589C">
        <w:rPr>
          <w:rFonts w:ascii="Times New Roman" w:hAnsi="Times New Roman" w:cs="Times New Roman"/>
          <w:sz w:val="24"/>
          <w:szCs w:val="24"/>
        </w:rPr>
        <w:t xml:space="preserve">) UV-Vis spectra of compound </w:t>
      </w:r>
      <w:r w:rsidRPr="0094589C">
        <w:rPr>
          <w:rFonts w:ascii="Times New Roman" w:hAnsi="Times New Roman" w:cs="Times New Roman"/>
          <w:b/>
          <w:sz w:val="24"/>
          <w:szCs w:val="24"/>
        </w:rPr>
        <w:t>2</w:t>
      </w:r>
    </w:p>
    <w:p w:rsidR="007C14A2" w:rsidRPr="0094589C" w:rsidRDefault="007C14A2">
      <w:pPr>
        <w:rPr>
          <w:rFonts w:ascii="Times New Roman" w:hAnsi="Times New Roman" w:cs="Times New Roman"/>
          <w:sz w:val="24"/>
          <w:szCs w:val="24"/>
        </w:rPr>
      </w:pPr>
      <w:r w:rsidRPr="0094589C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993140</wp:posOffset>
            </wp:positionH>
            <wp:positionV relativeFrom="paragraph">
              <wp:posOffset>333375</wp:posOffset>
            </wp:positionV>
            <wp:extent cx="4195445" cy="3324225"/>
            <wp:effectExtent l="19050" t="0" r="0" b="0"/>
            <wp:wrapTopAndBottom/>
            <wp:docPr id="3" name="Picture 15" descr="tga 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ga 1.t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5445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14A2" w:rsidRPr="0094589C" w:rsidRDefault="007C14A2">
      <w:pPr>
        <w:rPr>
          <w:rFonts w:ascii="Times New Roman" w:hAnsi="Times New Roman" w:cs="Times New Roman"/>
          <w:sz w:val="24"/>
          <w:szCs w:val="24"/>
        </w:rPr>
      </w:pPr>
    </w:p>
    <w:p w:rsidR="00915565" w:rsidRPr="0094589C" w:rsidRDefault="00A27E9E" w:rsidP="0091556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207C">
        <w:rPr>
          <w:rFonts w:ascii="Times New Roman" w:eastAsia="CharisSIL" w:hAnsi="Times New Roman" w:cs="Times New Roman"/>
          <w:b/>
          <w:sz w:val="24"/>
          <w:szCs w:val="24"/>
        </w:rPr>
        <w:t>Fig</w:t>
      </w:r>
      <w:r>
        <w:rPr>
          <w:rFonts w:ascii="Times New Roman" w:eastAsia="CharisSIL" w:hAnsi="Times New Roman" w:cs="Times New Roman"/>
          <w:b/>
          <w:sz w:val="24"/>
          <w:szCs w:val="24"/>
        </w:rPr>
        <w:t>ure</w:t>
      </w:r>
      <w:r w:rsidRPr="009F207C">
        <w:rPr>
          <w:rFonts w:ascii="Times New Roman" w:eastAsia="CharisSIL" w:hAnsi="Times New Roman" w:cs="Times New Roman"/>
          <w:sz w:val="24"/>
          <w:szCs w:val="24"/>
        </w:rPr>
        <w:t xml:space="preserve"> </w:t>
      </w:r>
      <w:r w:rsidRPr="009F207C">
        <w:rPr>
          <w:rFonts w:ascii="Times New Roman" w:eastAsia="CharisSIL" w:hAnsi="Times New Roman" w:cs="Times New Roman"/>
          <w:b/>
          <w:sz w:val="24"/>
          <w:szCs w:val="24"/>
        </w:rPr>
        <w:t>S</w:t>
      </w:r>
      <w:r>
        <w:rPr>
          <w:rFonts w:ascii="Times New Roman" w:eastAsia="CharisSIL" w:hAnsi="Times New Roman" w:cs="Times New Roman"/>
          <w:b/>
          <w:sz w:val="24"/>
          <w:szCs w:val="24"/>
        </w:rPr>
        <w:t>4</w:t>
      </w:r>
      <w:r w:rsidRPr="00A27E9E">
        <w:rPr>
          <w:rFonts w:ascii="Times New Roman" w:eastAsia="CharisSIL" w:hAnsi="Times New Roman" w:cs="Times New Roman"/>
          <w:sz w:val="24"/>
          <w:szCs w:val="24"/>
        </w:rPr>
        <w:t xml:space="preserve">. </w:t>
      </w:r>
      <w:r w:rsidR="00915565" w:rsidRPr="0094589C">
        <w:rPr>
          <w:rFonts w:ascii="Times New Roman" w:hAnsi="Times New Roman" w:cs="Times New Roman"/>
          <w:bCs/>
          <w:sz w:val="24"/>
          <w:szCs w:val="24"/>
        </w:rPr>
        <w:t xml:space="preserve">TG analysis of compounds </w:t>
      </w:r>
      <w:r w:rsidR="00915565" w:rsidRPr="0094589C">
        <w:rPr>
          <w:rFonts w:ascii="Times New Roman" w:hAnsi="Times New Roman" w:cs="Times New Roman"/>
          <w:b/>
          <w:sz w:val="24"/>
          <w:szCs w:val="24"/>
        </w:rPr>
        <w:t>1</w:t>
      </w:r>
      <w:r w:rsidR="00915565" w:rsidRPr="0094589C">
        <w:rPr>
          <w:rFonts w:ascii="Times New Roman" w:hAnsi="Times New Roman" w:cs="Times New Roman"/>
          <w:bCs/>
          <w:sz w:val="24"/>
          <w:szCs w:val="24"/>
        </w:rPr>
        <w:t xml:space="preserve"> and </w:t>
      </w:r>
      <w:r w:rsidR="00915565" w:rsidRPr="0094589C">
        <w:rPr>
          <w:rFonts w:ascii="Times New Roman" w:hAnsi="Times New Roman" w:cs="Times New Roman"/>
          <w:b/>
          <w:sz w:val="24"/>
          <w:szCs w:val="24"/>
        </w:rPr>
        <w:t>2</w:t>
      </w:r>
      <w:r w:rsidR="00915565" w:rsidRPr="0094589C">
        <w:rPr>
          <w:rFonts w:ascii="Times New Roman" w:hAnsi="Times New Roman" w:cs="Times New Roman"/>
          <w:sz w:val="24"/>
          <w:szCs w:val="24"/>
        </w:rPr>
        <w:t>.</w:t>
      </w:r>
    </w:p>
    <w:p w:rsidR="007C14A2" w:rsidRPr="0094589C" w:rsidRDefault="007C14A2">
      <w:pPr>
        <w:rPr>
          <w:rFonts w:ascii="Times New Roman" w:hAnsi="Times New Roman" w:cs="Times New Roman"/>
          <w:sz w:val="24"/>
          <w:szCs w:val="24"/>
        </w:rPr>
      </w:pPr>
    </w:p>
    <w:p w:rsidR="00D00370" w:rsidRDefault="00D00370" w:rsidP="00D00370">
      <w:pPr>
        <w:rPr>
          <w:rFonts w:ascii="Times New Roman" w:hAnsi="Times New Roman" w:cs="Times New Roman"/>
          <w:b/>
          <w:sz w:val="24"/>
          <w:szCs w:val="24"/>
        </w:rPr>
      </w:pPr>
      <w:r w:rsidRPr="00D00370">
        <w:rPr>
          <w:rFonts w:ascii="Times New Roman" w:hAnsi="Times New Roman" w:cs="Times New Roman"/>
          <w:b/>
          <w:sz w:val="24"/>
          <w:szCs w:val="24"/>
        </w:rPr>
        <w:t>Supplementary references</w:t>
      </w:r>
    </w:p>
    <w:p w:rsidR="00753096" w:rsidRPr="00376B53" w:rsidRDefault="00753096" w:rsidP="008B231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Nashre-ul-Islam, S. M.; Dutta, D.; Guha, A. K.; Bhattacharyya, M. K. An Unusual Werner Type Clathrate of Mn(II) Benzoate Involving Energetically Significant Weak CH</w:t>
      </w:r>
      <w:r w:rsidRPr="00376B53">
        <w:rPr>
          <w:rFonts w:ascii="Cambria Math" w:hAnsi="Cambria Math" w:cs="Cambria Math"/>
          <w:color w:val="000000" w:themeColor="text1"/>
          <w:sz w:val="24"/>
          <w:szCs w:val="24"/>
          <w:lang w:val="en-US"/>
        </w:rPr>
        <w:t>⋯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 Contacts: A Combined Experimental and Theoretical Study. </w:t>
      </w:r>
      <w:r w:rsidRPr="00376B5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J. Mol. Struct.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76B5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2019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r w:rsidRPr="00376B5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1175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 130–138.</w:t>
      </w:r>
    </w:p>
    <w:p w:rsidR="00753096" w:rsidRPr="00376B53" w:rsidRDefault="00753096" w:rsidP="008B231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Aligo, J. A.; Smith, L.; Eglin, J. L.; Pence, L. E. Solution and Solid-State Variation of Cupric Phenanthroline Complexes. </w:t>
      </w:r>
      <w:r w:rsidRPr="00376B5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Inorg. Chem.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76B5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2005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r w:rsidRPr="00376B5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44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 4001–4007.</w:t>
      </w:r>
    </w:p>
    <w:p w:rsidR="00753096" w:rsidRPr="00376B53" w:rsidRDefault="00753096" w:rsidP="008B231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Sizova, O. V.; Ershov, A. Y.; Ivanova, N. V.; Shashko, A. D.; Kuteikina-Teplyakova, A. V. Ru(II) Chloro-bis(bipyridyl) Complexes with Substituted Pyridine Ligands: Interpretation of Their Electronic Absorption Spectra. </w:t>
      </w:r>
      <w:r w:rsidRPr="00376B5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Russ. J. Coord. Chem.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76B5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2003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r w:rsidRPr="00376B5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29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 494–500.</w:t>
      </w:r>
    </w:p>
    <w:p w:rsidR="00753096" w:rsidRDefault="00753096" w:rsidP="008B231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de Araújo, E. L.; Barbosa, H. F. G.; Dockal, E. R.; Cavalheiro, É. T. G. Synthesis, Characterization and Biological Activity of Cu(II), Ni(II), and Zn(II) Complexes of 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lastRenderedPageBreak/>
        <w:t xml:space="preserve">Biopolymeric Schiff Bases of Salicylaldehydes and Chitosan. </w:t>
      </w:r>
      <w:r w:rsidRPr="00376B5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Int. J. Biol. Macromol.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76B5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2017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r w:rsidRPr="00376B5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95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168–176. </w:t>
      </w:r>
    </w:p>
    <w:p w:rsidR="00753096" w:rsidRDefault="00753096" w:rsidP="008B231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Ekennia, A. C.; Onwudiwe, D. C.; Osowole, A. A.; Olasunkanmi, L. O.; Ebenso, E. E. Synthesis, Biological, and Quantum Chemical Studies of Zn(II) and Ni(II) Mixed-Ligand Complexes Derived from N,N-Disubstituted Dithiocarbamate and Benzoic Acid. </w:t>
      </w:r>
      <w:r w:rsidRPr="00376B5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J. Chem.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76B5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2016</w:t>
      </w:r>
      <w:r w:rsidR="00A40B7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A40B78" w:rsidRPr="00A40B7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2016</w:t>
      </w:r>
      <w:r w:rsidR="00A40B78" w:rsidRPr="00A40B7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5129010-5129025</w:t>
      </w:r>
      <w:r w:rsidR="00A40B7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753096" w:rsidRPr="00376B53" w:rsidRDefault="00753096" w:rsidP="008B231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Kalarani, R.; Sankarganesh, M.; Kumar, G. V.; Kalanithi, M. Synthesis, Spectral, DFT Calculation, Sensor, Antimicrobial and DNA Binding Studies of Co(II), Cu(II), and Zn(II) Metal Complexes with 2-Amino Benzimidazole Schiff Base. </w:t>
      </w:r>
      <w:r w:rsidRPr="00376B5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J. Mol. Struct.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76B5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2020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r w:rsidRPr="00376B5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1206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 127725</w:t>
      </w:r>
      <w:r w:rsidR="00A40B7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-127740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:rsidR="00753096" w:rsidRPr="00376B53" w:rsidRDefault="00753096" w:rsidP="008B231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 Mesquita, M. E.; Junior, S. A.; Oliveira, F. C.; Freire, R. O.; Júnior, N. B. C.; De Sá, G. F. Synthesis, Spectroscopic Studies and Structure Prediction of the New Tb(3-NH</w:t>
      </w:r>
      <w:r w:rsidRPr="003F64B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>2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PIC)</w:t>
      </w:r>
      <w:r w:rsidRPr="003F64B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>3</w:t>
      </w:r>
      <w:r w:rsidR="003F64B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sym w:font="Symbol" w:char="F02E"/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3H</w:t>
      </w:r>
      <w:r w:rsidRPr="003F64B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>2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O Complex. </w:t>
      </w:r>
      <w:r w:rsidRPr="00376B5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Inorg. Chem. Commun.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76B5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2002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r w:rsidRPr="00376B5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5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 292–295.</w:t>
      </w:r>
    </w:p>
    <w:p w:rsidR="00753096" w:rsidRDefault="00753096" w:rsidP="008B231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Ghosh, M.; Majee, A.; Nethaji, M.; Chattopadhyay, T. Syntheses and Characterization of trans-[NiL</w:t>
      </w:r>
      <w:r w:rsidRPr="008B231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>2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(NCS)</w:t>
      </w:r>
      <w:r w:rsidRPr="008B231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>2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][L = 2-(Aminomethyl) Pyridine], trans-[NiL</w:t>
      </w:r>
      <w:r w:rsidRPr="008B231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>2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′(NSC)</w:t>
      </w:r>
      <w:r w:rsidRPr="008B231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>2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][L′ = 2-(2-Aminoethyl) Pyridine] and trans-[NiL</w:t>
      </w:r>
      <w:r w:rsidRPr="008B231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>2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″(NSC)</w:t>
      </w:r>
      <w:r w:rsidRPr="008B231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>2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][L″ = 2-(2-Methylaminoethyl) Pyridine] Complexes: X-ray Single Crystal Structure of trans-[NiL</w:t>
      </w:r>
      <w:r w:rsidRPr="008B231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>2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′(NSC)</w:t>
      </w:r>
      <w:r w:rsidRPr="008B231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en-US"/>
        </w:rPr>
        <w:t>2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][L′ = 2-(2-Aminoethyl) Pyridine]. </w:t>
      </w:r>
      <w:r w:rsidRPr="00376B5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Inorg. Chim. Acta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76B5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2009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r w:rsidRPr="00376B5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362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2052–2055. </w:t>
      </w:r>
    </w:p>
    <w:p w:rsidR="00753096" w:rsidRPr="008E271E" w:rsidRDefault="00753096" w:rsidP="008B2313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Yenikaya, C.; Poyraz, M.; Sarı, M.; Demirci, F.; İlkimen, H.; Büyükgüngör, O. Synthesis, Characterization and Biological Evaluation of a Novel Cu(II) Complex with the Mixed Ligands 2,6-Pyridinedicarboxylic Acid and 2-Aminopyridine. </w:t>
      </w:r>
      <w:r w:rsidRPr="00376B5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Polyhedron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76B5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2009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r w:rsidRPr="00376B53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en-US"/>
        </w:rPr>
        <w:t>28</w:t>
      </w:r>
      <w:r w:rsidRPr="00376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 3526–3532.</w:t>
      </w:r>
    </w:p>
    <w:sectPr w:rsidR="00753096" w:rsidRPr="008E271E" w:rsidSect="000F31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94D" w:rsidRDefault="0021194D" w:rsidP="00A27E9E">
      <w:pPr>
        <w:spacing w:after="0" w:line="240" w:lineRule="auto"/>
      </w:pPr>
      <w:r>
        <w:separator/>
      </w:r>
    </w:p>
  </w:endnote>
  <w:endnote w:type="continuationSeparator" w:id="1">
    <w:p w:rsidR="0021194D" w:rsidRDefault="0021194D" w:rsidP="00A27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harisSIL">
    <w:altName w:val="MS Gothic"/>
    <w:panose1 w:val="00000000000000000000"/>
    <w:charset w:val="80"/>
    <w:family w:val="swiss"/>
    <w:notTrueType/>
    <w:pitch w:val="default"/>
    <w:sig w:usb0="00000081" w:usb1="08070000" w:usb2="00000010" w:usb3="00000000" w:csb0="00020008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94D" w:rsidRDefault="0021194D" w:rsidP="00A27E9E">
      <w:pPr>
        <w:spacing w:after="0" w:line="240" w:lineRule="auto"/>
      </w:pPr>
      <w:r>
        <w:separator/>
      </w:r>
    </w:p>
  </w:footnote>
  <w:footnote w:type="continuationSeparator" w:id="1">
    <w:p w:rsidR="0021194D" w:rsidRDefault="0021194D" w:rsidP="00A27E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30506"/>
    <w:multiLevelType w:val="multilevel"/>
    <w:tmpl w:val="BA6C7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C14A2"/>
    <w:rsid w:val="000F316F"/>
    <w:rsid w:val="0021194D"/>
    <w:rsid w:val="0026698B"/>
    <w:rsid w:val="002A2B93"/>
    <w:rsid w:val="00303056"/>
    <w:rsid w:val="003F64B3"/>
    <w:rsid w:val="004923B0"/>
    <w:rsid w:val="0060685E"/>
    <w:rsid w:val="00753096"/>
    <w:rsid w:val="007A158A"/>
    <w:rsid w:val="007C14A2"/>
    <w:rsid w:val="007E0138"/>
    <w:rsid w:val="008B2313"/>
    <w:rsid w:val="00915565"/>
    <w:rsid w:val="00934464"/>
    <w:rsid w:val="0094589C"/>
    <w:rsid w:val="00950D06"/>
    <w:rsid w:val="00A27E9E"/>
    <w:rsid w:val="00A40B78"/>
    <w:rsid w:val="00A82ED3"/>
    <w:rsid w:val="00BF4F13"/>
    <w:rsid w:val="00C20D9A"/>
    <w:rsid w:val="00C34CFF"/>
    <w:rsid w:val="00D00370"/>
    <w:rsid w:val="00ED1957"/>
    <w:rsid w:val="00F63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1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27E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7E9E"/>
  </w:style>
  <w:style w:type="paragraph" w:styleId="Footer">
    <w:name w:val="footer"/>
    <w:basedOn w:val="Normal"/>
    <w:link w:val="FooterChar"/>
    <w:uiPriority w:val="99"/>
    <w:semiHidden/>
    <w:unhideWhenUsed/>
    <w:rsid w:val="00A27E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7E9E"/>
  </w:style>
  <w:style w:type="paragraph" w:styleId="ListParagraph">
    <w:name w:val="List Paragraph"/>
    <w:basedOn w:val="Normal"/>
    <w:uiPriority w:val="34"/>
    <w:qFormat/>
    <w:rsid w:val="00753096"/>
    <w:pPr>
      <w:ind w:left="720"/>
      <w:contextualSpacing/>
    </w:pPr>
    <w:rPr>
      <w:rFonts w:eastAsiaTheme="minorHAnsi"/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image" Target="media/image6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tiff"/><Relationship Id="rId5" Type="http://schemas.openxmlformats.org/officeDocument/2006/relationships/footnotes" Target="footnotes.xml"/><Relationship Id="rId10" Type="http://schemas.openxmlformats.org/officeDocument/2006/relationships/image" Target="media/image4.tiff"/><Relationship Id="rId4" Type="http://schemas.openxmlformats.org/officeDocument/2006/relationships/webSettings" Target="webSettings.xml"/><Relationship Id="rId9" Type="http://schemas.openxmlformats.org/officeDocument/2006/relationships/image" Target="media/image3.tif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Subham</dc:creator>
  <cp:keywords/>
  <dc:description/>
  <cp:lastModifiedBy>Subham</cp:lastModifiedBy>
  <cp:revision>20</cp:revision>
  <dcterms:created xsi:type="dcterms:W3CDTF">2024-04-02T03:05:00Z</dcterms:created>
  <dcterms:modified xsi:type="dcterms:W3CDTF">2024-04-10T08:45:00Z</dcterms:modified>
</cp:coreProperties>
</file>